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4A" w:rsidRPr="00BC7219" w:rsidRDefault="00A0244A" w:rsidP="00BC7219">
      <w:bookmarkStart w:id="0" w:name="tempHer"/>
      <w:bookmarkEnd w:id="0"/>
    </w:p>
    <w:tbl>
      <w:tblPr>
        <w:tblW w:w="5000" w:type="pct"/>
        <w:tblLayout w:type="fixed"/>
        <w:tblCellMar>
          <w:left w:w="70" w:type="dxa"/>
          <w:right w:w="70" w:type="dxa"/>
        </w:tblCellMar>
        <w:tblLook w:val="0000" w:firstRow="0" w:lastRow="0" w:firstColumn="0" w:lastColumn="0" w:noHBand="0" w:noVBand="0"/>
      </w:tblPr>
      <w:tblGrid>
        <w:gridCol w:w="1629"/>
        <w:gridCol w:w="5103"/>
        <w:gridCol w:w="1417"/>
        <w:gridCol w:w="1560"/>
        <w:gridCol w:w="212"/>
      </w:tblGrid>
      <w:tr w:rsidR="00A0244A" w:rsidRPr="00BC7219" w:rsidTr="00BA0527">
        <w:tblPrEx>
          <w:tblCellMar>
            <w:top w:w="0" w:type="dxa"/>
            <w:bottom w:w="0" w:type="dxa"/>
          </w:tblCellMar>
        </w:tblPrEx>
        <w:trPr>
          <w:cantSplit/>
        </w:trPr>
        <w:tc>
          <w:tcPr>
            <w:tcW w:w="5000" w:type="pct"/>
            <w:gridSpan w:val="5"/>
          </w:tcPr>
          <w:p w:rsidR="00A0244A" w:rsidRPr="00BC7219" w:rsidRDefault="00A0244A" w:rsidP="00BC7219"/>
          <w:p w:rsidR="00A0244A" w:rsidRPr="00BC7219" w:rsidRDefault="00A0244A" w:rsidP="00BC7219">
            <w:pPr>
              <w:pStyle w:val="Overskrift1"/>
              <w:outlineLvl w:val="0"/>
            </w:pPr>
            <w:r w:rsidRPr="00BC7219">
              <w:rPr>
                <w:sz w:val="36"/>
              </w:rPr>
              <w:t>Taushetserklæring</w:t>
            </w:r>
          </w:p>
          <w:p w:rsidR="00A0244A" w:rsidRPr="00BC7219" w:rsidRDefault="00A0244A" w:rsidP="00BC7219"/>
        </w:tc>
      </w:tr>
      <w:tr w:rsidR="00A0244A" w:rsidRPr="00ED55A6" w:rsidTr="00BA0527">
        <w:tblPrEx>
          <w:tblCellMar>
            <w:top w:w="0" w:type="dxa"/>
            <w:bottom w:w="0" w:type="dxa"/>
          </w:tblCellMar>
        </w:tblPrEx>
        <w:trPr>
          <w:cantSplit/>
        </w:trPr>
        <w:tc>
          <w:tcPr>
            <w:tcW w:w="4893" w:type="pct"/>
            <w:gridSpan w:val="4"/>
          </w:tcPr>
          <w:p w:rsidR="009A687E" w:rsidRPr="00ED55A6" w:rsidRDefault="009A687E" w:rsidP="00BC7219">
            <w:pPr>
              <w:rPr>
                <w:sz w:val="24"/>
                <w:szCs w:val="24"/>
              </w:rPr>
            </w:pPr>
          </w:p>
        </w:tc>
        <w:tc>
          <w:tcPr>
            <w:tcW w:w="107" w:type="pct"/>
          </w:tcPr>
          <w:p w:rsidR="00A0244A" w:rsidRPr="00ED55A6" w:rsidRDefault="00A0244A" w:rsidP="00BC7219">
            <w:pPr>
              <w:rPr>
                <w:sz w:val="24"/>
                <w:szCs w:val="24"/>
              </w:rPr>
            </w:pPr>
          </w:p>
        </w:tc>
      </w:tr>
      <w:tr w:rsidR="00A0244A" w:rsidRPr="00BC7219" w:rsidTr="00BA0527">
        <w:tblPrEx>
          <w:tblCellMar>
            <w:top w:w="0" w:type="dxa"/>
            <w:bottom w:w="0" w:type="dxa"/>
          </w:tblCellMar>
        </w:tblPrEx>
        <w:trPr>
          <w:cantSplit/>
          <w:trHeight w:val="397"/>
        </w:trPr>
        <w:tc>
          <w:tcPr>
            <w:tcW w:w="821" w:type="pct"/>
            <w:tcBorders>
              <w:top w:val="single" w:sz="12" w:space="0" w:color="auto"/>
              <w:left w:val="single" w:sz="12" w:space="0" w:color="auto"/>
            </w:tcBorders>
          </w:tcPr>
          <w:p w:rsidR="00A0244A" w:rsidRPr="00BC7219" w:rsidRDefault="00A0244A" w:rsidP="00BC7219">
            <w:r w:rsidRPr="00BC7219">
              <w:t>Navn:</w:t>
            </w:r>
          </w:p>
        </w:tc>
        <w:bookmarkStart w:id="1" w:name="Navn"/>
        <w:bookmarkEnd w:id="1"/>
        <w:tc>
          <w:tcPr>
            <w:tcW w:w="2572" w:type="pct"/>
            <w:tcBorders>
              <w:top w:val="single" w:sz="12" w:space="0" w:color="auto"/>
              <w:left w:val="nil"/>
              <w:bottom w:val="single" w:sz="6" w:space="0" w:color="auto"/>
            </w:tcBorders>
          </w:tcPr>
          <w:p w:rsidR="00A0244A" w:rsidRPr="00BC7219" w:rsidRDefault="000E7A99" w:rsidP="00BC7219">
            <w:r>
              <w:fldChar w:fldCharType="begin">
                <w:ffData>
                  <w:name w:val="Tekst4"/>
                  <w:enabled/>
                  <w:calcOnExit w:val="0"/>
                  <w:textInput/>
                </w:ffData>
              </w:fldChar>
            </w:r>
            <w:bookmarkStart w:id="2" w:name="Tekst4"/>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2"/>
            <w:r w:rsidR="00A0244A" w:rsidRPr="00BC7219">
              <w:fldChar w:fldCharType="begin"/>
            </w:r>
            <w:r w:rsidR="00A0244A" w:rsidRPr="00BC7219">
              <w:instrText xml:space="preserve">  </w:instrText>
            </w:r>
            <w:r w:rsidR="00A0244A" w:rsidRPr="00BC7219">
              <w:fldChar w:fldCharType="end"/>
            </w:r>
          </w:p>
        </w:tc>
        <w:tc>
          <w:tcPr>
            <w:tcW w:w="714" w:type="pct"/>
            <w:tcBorders>
              <w:top w:val="single" w:sz="12" w:space="0" w:color="auto"/>
              <w:left w:val="single" w:sz="6" w:space="0" w:color="auto"/>
              <w:bottom w:val="single" w:sz="6" w:space="0" w:color="auto"/>
            </w:tcBorders>
          </w:tcPr>
          <w:p w:rsidR="00A0244A" w:rsidRPr="00BC7219" w:rsidRDefault="00A0244A" w:rsidP="00BC7219">
            <w:r w:rsidRPr="00BC7219">
              <w:t>Født:</w:t>
            </w:r>
          </w:p>
        </w:tc>
        <w:bookmarkStart w:id="3" w:name="Født"/>
        <w:bookmarkEnd w:id="3"/>
        <w:tc>
          <w:tcPr>
            <w:tcW w:w="893" w:type="pct"/>
            <w:gridSpan w:val="2"/>
            <w:tcBorders>
              <w:top w:val="single" w:sz="12" w:space="0" w:color="auto"/>
              <w:left w:val="nil"/>
              <w:bottom w:val="single" w:sz="6" w:space="0" w:color="auto"/>
              <w:right w:val="single" w:sz="12" w:space="0" w:color="auto"/>
            </w:tcBorders>
          </w:tcPr>
          <w:p w:rsidR="00A0244A" w:rsidRPr="00BC7219" w:rsidRDefault="00A0244A" w:rsidP="00BC7219">
            <w:r w:rsidRPr="00BC7219">
              <w:fldChar w:fldCharType="begin"/>
            </w:r>
            <w:r w:rsidRPr="00BC7219">
              <w:instrText xml:space="preserve">  </w:instrText>
            </w:r>
            <w:r w:rsidRPr="00BC7219">
              <w:fldChar w:fldCharType="end"/>
            </w:r>
          </w:p>
        </w:tc>
      </w:tr>
      <w:tr w:rsidR="00BA0527" w:rsidRPr="00BC7219" w:rsidTr="00BA0527">
        <w:tblPrEx>
          <w:tblCellMar>
            <w:top w:w="0" w:type="dxa"/>
            <w:bottom w:w="0" w:type="dxa"/>
          </w:tblCellMar>
        </w:tblPrEx>
        <w:trPr>
          <w:cantSplit/>
          <w:trHeight w:val="397"/>
        </w:trPr>
        <w:tc>
          <w:tcPr>
            <w:tcW w:w="821" w:type="pct"/>
            <w:tcBorders>
              <w:top w:val="single" w:sz="6" w:space="0" w:color="auto"/>
              <w:left w:val="single" w:sz="12" w:space="0" w:color="auto"/>
              <w:bottom w:val="single" w:sz="6" w:space="0" w:color="auto"/>
            </w:tcBorders>
          </w:tcPr>
          <w:p w:rsidR="00BA0527" w:rsidRPr="00BC7219" w:rsidRDefault="00BA0527" w:rsidP="00BC7219">
            <w:r w:rsidRPr="00BC7219">
              <w:t>Stilling:</w:t>
            </w:r>
          </w:p>
        </w:tc>
        <w:bookmarkStart w:id="4" w:name="Stilling"/>
        <w:bookmarkEnd w:id="4"/>
        <w:tc>
          <w:tcPr>
            <w:tcW w:w="2572" w:type="pct"/>
            <w:tcBorders>
              <w:top w:val="single" w:sz="6" w:space="0" w:color="auto"/>
              <w:left w:val="nil"/>
              <w:bottom w:val="single" w:sz="6" w:space="0" w:color="auto"/>
              <w:right w:val="single" w:sz="4" w:space="0" w:color="auto"/>
            </w:tcBorders>
          </w:tcPr>
          <w:p w:rsidR="00BA0527" w:rsidRPr="00BC7219" w:rsidRDefault="00BA0527" w:rsidP="00BA0527">
            <w:r>
              <w:fldChar w:fldCharType="begin">
                <w:ffData>
                  <w:name w:val="Tekst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w:t>
            </w:r>
            <w:r w:rsidRPr="00BC7219">
              <w:fldChar w:fldCharType="begin"/>
            </w:r>
            <w:r w:rsidRPr="00BC7219">
              <w:instrText xml:space="preserve">  </w:instrText>
            </w:r>
            <w:r w:rsidRPr="00BC7219">
              <w:fldChar w:fldCharType="end"/>
            </w:r>
          </w:p>
        </w:tc>
        <w:tc>
          <w:tcPr>
            <w:tcW w:w="1607" w:type="pct"/>
            <w:gridSpan w:val="3"/>
            <w:tcBorders>
              <w:top w:val="single" w:sz="6" w:space="0" w:color="auto"/>
              <w:left w:val="single" w:sz="4" w:space="0" w:color="auto"/>
              <w:bottom w:val="single" w:sz="6" w:space="0" w:color="auto"/>
              <w:right w:val="single" w:sz="12" w:space="0" w:color="auto"/>
            </w:tcBorders>
          </w:tcPr>
          <w:p w:rsidR="00BA0527" w:rsidRPr="00BC7219" w:rsidRDefault="00BA0527" w:rsidP="00BC7219">
            <w:r>
              <w:t>Evt. a</w:t>
            </w:r>
            <w:r w:rsidRPr="00BC7219">
              <w:t>nsattnr.:</w:t>
            </w:r>
            <w:r>
              <w:t xml:space="preserve">   </w:t>
            </w:r>
          </w:p>
        </w:tc>
      </w:tr>
      <w:tr w:rsidR="00A0244A" w:rsidRPr="00BC7219" w:rsidTr="00BA0527">
        <w:tblPrEx>
          <w:tblCellMar>
            <w:top w:w="0" w:type="dxa"/>
            <w:bottom w:w="0" w:type="dxa"/>
          </w:tblCellMar>
        </w:tblPrEx>
        <w:trPr>
          <w:cantSplit/>
          <w:trHeight w:val="397"/>
        </w:trPr>
        <w:tc>
          <w:tcPr>
            <w:tcW w:w="821" w:type="pct"/>
            <w:tcBorders>
              <w:top w:val="single" w:sz="6" w:space="0" w:color="auto"/>
              <w:left w:val="single" w:sz="12" w:space="0" w:color="auto"/>
              <w:bottom w:val="single" w:sz="12" w:space="0" w:color="auto"/>
            </w:tcBorders>
          </w:tcPr>
          <w:p w:rsidR="00A0244A" w:rsidRPr="00BC7219" w:rsidRDefault="00A0244A" w:rsidP="00BC7219">
            <w:r w:rsidRPr="00BC7219">
              <w:t>Avdeling/firma:</w:t>
            </w:r>
          </w:p>
        </w:tc>
        <w:bookmarkStart w:id="5" w:name="Avdeling"/>
        <w:bookmarkEnd w:id="5"/>
        <w:tc>
          <w:tcPr>
            <w:tcW w:w="4179" w:type="pct"/>
            <w:gridSpan w:val="4"/>
            <w:tcBorders>
              <w:top w:val="single" w:sz="6" w:space="0" w:color="auto"/>
              <w:left w:val="nil"/>
              <w:bottom w:val="single" w:sz="12" w:space="0" w:color="auto"/>
              <w:right w:val="single" w:sz="12" w:space="0" w:color="auto"/>
            </w:tcBorders>
          </w:tcPr>
          <w:p w:rsidR="00A0244A" w:rsidRPr="00BC7219" w:rsidRDefault="000E7A99" w:rsidP="00BC7219">
            <w:r>
              <w:fldChar w:fldCharType="begin">
                <w:ffData>
                  <w:name w:val="Tekst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sidR="00A0244A" w:rsidRPr="00BC7219">
              <w:fldChar w:fldCharType="begin"/>
            </w:r>
            <w:r w:rsidR="00A0244A" w:rsidRPr="00BC7219">
              <w:instrText xml:space="preserve">  </w:instrText>
            </w:r>
            <w:r w:rsidR="00A0244A" w:rsidRPr="00BC7219">
              <w:fldChar w:fldCharType="end"/>
            </w:r>
          </w:p>
        </w:tc>
      </w:tr>
    </w:tbl>
    <w:p w:rsidR="00A0244A" w:rsidRPr="00BC7219" w:rsidRDefault="00A0244A" w:rsidP="00BC7219"/>
    <w:p w:rsidR="00A0244A" w:rsidRPr="00BC7219" w:rsidRDefault="00A0244A" w:rsidP="00BC7219">
      <w:pPr>
        <w:rPr>
          <w:b/>
        </w:rPr>
      </w:pPr>
      <w:r w:rsidRPr="00BC7219">
        <w:rPr>
          <w:b/>
        </w:rPr>
        <w:t>Bakgrunn</w:t>
      </w:r>
    </w:p>
    <w:p w:rsidR="00A0244A" w:rsidRPr="00BC7219" w:rsidRDefault="00A0244A" w:rsidP="00BC7219">
      <w:r w:rsidRPr="00BC7219">
        <w:t>Taushetsplikten i helsetjenesten verner om private interesser og er begrunnet i ønsket om beskyttelse av enkeltmenneskers personlige forhold og private sfære. Taushetsplikten er et sentralt element i personvernet. Taushetsplikten begrunnes også med at pasienter skal få behandling. Dersom helsepersonell og andre ikke har taushetsplikt kan dette medføre at pasienten unnlater å oppsøke hjelp av frykt for spredning av opplysninger.</w:t>
      </w:r>
    </w:p>
    <w:p w:rsidR="00A0244A" w:rsidRPr="00BC7219" w:rsidRDefault="00A0244A" w:rsidP="00BC7219"/>
    <w:p w:rsidR="00A0244A" w:rsidRPr="00BC7219" w:rsidRDefault="00A0244A" w:rsidP="00BC7219">
      <w:pPr>
        <w:rPr>
          <w:b/>
        </w:rPr>
      </w:pPr>
      <w:r w:rsidRPr="00BC7219">
        <w:rPr>
          <w:b/>
        </w:rPr>
        <w:t>Omfang</w:t>
      </w:r>
    </w:p>
    <w:p w:rsidR="00A0244A" w:rsidRPr="00BC7219" w:rsidRDefault="00A0244A" w:rsidP="00BC7219">
      <w:r w:rsidRPr="00BC7219">
        <w:t xml:space="preserve">Taushetsplikten gjelder opplysninger om folks legems- eller sykdomsforhold, opplysinger om andre personlige forhold, opplysninger om tekniske innretninger, fremgangsmåter og forretningsforhold av konkurransemessig betydning, opplysninger av betydning for informasjonssikkerheten og opplysninger som det av andre grunner må sikres konfidensialitet for – som undertegnede får tilgang til i tilknytning til opphold ved, i samarbeid med, i avtale med- eller i arbeid/oppdrag for </w:t>
      </w:r>
      <w:r w:rsidR="00BF793D" w:rsidRPr="00BF793D">
        <w:rPr>
          <w:color w:val="0070C0"/>
          <w:sz w:val="24"/>
        </w:rPr>
        <w:t>[BEDRIFTEN/AVDELINGEN]</w:t>
      </w:r>
      <w:r w:rsidRPr="00BC7219">
        <w:t xml:space="preserve">. </w:t>
      </w:r>
      <w:r w:rsidR="00C53FED" w:rsidRPr="00BC7219">
        <w:t xml:space="preserve"> Det er også forbudt å tilegne seg taushetsbelagte opplysninger på en urettmessig måte.</w:t>
      </w:r>
    </w:p>
    <w:p w:rsidR="00A0244A" w:rsidRPr="00BC7219" w:rsidRDefault="00A0244A" w:rsidP="00BC7219"/>
    <w:p w:rsidR="00A0244A" w:rsidRPr="00BC7219" w:rsidRDefault="00A0244A" w:rsidP="00BC7219">
      <w:r w:rsidRPr="00BC7219">
        <w:t xml:space="preserve">Taushetsplikten gjelder også etter at tjeneste eller arbeid er avsluttet. </w:t>
      </w:r>
    </w:p>
    <w:p w:rsidR="00A0244A" w:rsidRPr="00BC7219" w:rsidRDefault="00A0244A" w:rsidP="00BC7219"/>
    <w:p w:rsidR="00A0244A" w:rsidRPr="00BC7219" w:rsidRDefault="0097273C" w:rsidP="00BC7219">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20460" cy="113411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1134110"/>
                        </a:xfrm>
                        <a:prstGeom prst="rect">
                          <a:avLst/>
                        </a:prstGeom>
                        <a:solidFill>
                          <a:srgbClr val="DDDDDD"/>
                        </a:solidFill>
                        <a:ln w="9525">
                          <a:solidFill>
                            <a:srgbClr val="000000"/>
                          </a:solidFill>
                          <a:miter lim="800000"/>
                          <a:headEnd/>
                          <a:tailEnd/>
                        </a:ln>
                      </wps:spPr>
                      <wps:txbx>
                        <w:txbxContent>
                          <w:p w:rsidR="00ED55A6" w:rsidRPr="000E7A99" w:rsidRDefault="00ED55A6" w:rsidP="00BC7219">
                            <w:pPr>
                              <w:rPr>
                                <w:b/>
                                <w:i/>
                              </w:rPr>
                            </w:pPr>
                            <w:r w:rsidRPr="000E7A99">
                              <w:rPr>
                                <w:b/>
                                <w:i/>
                              </w:rPr>
                              <w:t>Veiledning</w:t>
                            </w:r>
                          </w:p>
                          <w:p w:rsidR="00ED55A6" w:rsidRPr="009E645A" w:rsidRDefault="00ED55A6">
                            <w:r w:rsidRPr="00BC7219">
                              <w:t>Å gi informasjon om pasienter vil kunne være i strid med taushetsplikten. Helsepersonell plikter ikke å svare på spørsmål om pasientens tilstand, eller om vedkommende er innlagt. Å informere om at pasienten er innlagt er brudd på taushetsplikten dersom pasienten har gitt uttrykk for at han ønsker full anonymitet. Er du i tvil om hvilken informasjon som kan gis i en konkret sak, bør spørsmålet avklares med overordnede eller pasienten selv.</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489.8pt;height:89.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" fillcolor="#ddd">
                <v:textbox style="mso-fit-shape-to-text:t">
                  <w:txbxContent>
                    <w:p w:rsidR="00ED55A6" w:rsidRPr="000E7A99" w:rsidRDefault="00ED55A6" w:rsidP="00BC7219">
                      <w:pPr>
                        <w:rPr>
                          <w:b/>
                          <w:i/>
                        </w:rPr>
                      </w:pPr>
                      <w:r w:rsidRPr="000E7A99">
                        <w:rPr>
                          <w:b/>
                          <w:i/>
                        </w:rPr>
                        <w:t>Veiledning</w:t>
                      </w:r>
                    </w:p>
                    <w:p w:rsidR="00ED55A6" w:rsidRPr="009E645A" w:rsidRDefault="00ED55A6">
                      <w:r w:rsidRPr="00BC7219">
                        <w:t>Å gi informasjon om pasienter vil kunne være i strid med taushetsplikten. Helsepersonell plikter ikke å svare på spørsmål om pasientens tilstand, eller om vedkommende er innlagt. Å informere om at pasienten er innlagt er brudd på taushetsplikten dersom pasienten har gitt uttrykk for at han ønsker full anonymitet. Er du i tvil om hvilken informasjon som kan gis i en konkret sak, bør spørsmålet avklares med overordnede eller pasienten selv.</w:t>
                      </w:r>
                    </w:p>
                  </w:txbxContent>
                </v:textbox>
                <w10:wrap type="square"/>
              </v:shape>
            </w:pict>
          </mc:Fallback>
        </mc:AlternateContent>
      </w:r>
    </w:p>
    <w:p w:rsidR="00A0244A" w:rsidRPr="00BC7219" w:rsidRDefault="00A0244A" w:rsidP="00BC7219">
      <w:pPr>
        <w:rPr>
          <w:b/>
        </w:rPr>
      </w:pPr>
      <w:r w:rsidRPr="00BC7219">
        <w:rPr>
          <w:b/>
        </w:rPr>
        <w:t>Lovkrav</w:t>
      </w:r>
    </w:p>
    <w:p w:rsidR="00A0244A" w:rsidRPr="00BC7219" w:rsidRDefault="001F25EA" w:rsidP="00BC7219">
      <w:r w:rsidRPr="00BC7219">
        <w:t>Det følgende beskriver lovpålagt taushetsplikt:</w:t>
      </w:r>
    </w:p>
    <w:p w:rsidR="00A0244A" w:rsidRPr="00BC7219" w:rsidRDefault="00A0244A" w:rsidP="00831A10">
      <w:pPr>
        <w:numPr>
          <w:ilvl w:val="0"/>
          <w:numId w:val="4"/>
        </w:numPr>
      </w:pPr>
      <w:r w:rsidRPr="00BC7219">
        <w:t>i henhold til helsepersonelloven § 21 skal helsepersonell hindre at andre får kjennskap om folks legems- eller sykdomsforhold eller andre personlige forhold som de får vite om i egenskap av å være helsepersonell</w:t>
      </w:r>
    </w:p>
    <w:p w:rsidR="00F7225C" w:rsidRPr="00BC7219" w:rsidRDefault="00F7225C" w:rsidP="00831A10">
      <w:pPr>
        <w:numPr>
          <w:ilvl w:val="0"/>
          <w:numId w:val="4"/>
        </w:numPr>
      </w:pPr>
      <w:r w:rsidRPr="00BC7219">
        <w:t>i henhold til helsepersonelloven § 21 a er det forbudt å tilegne seg taushetsbelagte opplysninger på en urettmessig måte</w:t>
      </w:r>
    </w:p>
    <w:p w:rsidR="00A0244A" w:rsidRPr="00BC7219" w:rsidRDefault="00A0244A" w:rsidP="00831A10">
      <w:pPr>
        <w:numPr>
          <w:ilvl w:val="0"/>
          <w:numId w:val="4"/>
        </w:numPr>
      </w:pPr>
      <w:r w:rsidRPr="00BC7219">
        <w:t>i henhold til spesialisthelsetjenesteloven § 6-1 har alle som utfører tjeneste for helseinstitusjon som omfattes av loven, taushetsplikt etter forvaltningsloven § 13</w:t>
      </w:r>
    </w:p>
    <w:p w:rsidR="00A0244A" w:rsidRPr="00BC7219" w:rsidRDefault="00A0244A" w:rsidP="00831A10">
      <w:pPr>
        <w:numPr>
          <w:ilvl w:val="0"/>
          <w:numId w:val="4"/>
        </w:numPr>
      </w:pPr>
      <w:r w:rsidRPr="00BC7219">
        <w:t>i henhold til helseregisterloven § 15 har alle som behandler helseopplysinger etter helseregisterloven taushetsplikt etter forvaltningsloven § 13 og taushetspliktbestemmelsene i helsepersonelloven</w:t>
      </w:r>
    </w:p>
    <w:p w:rsidR="00A0244A" w:rsidRPr="00BC7219" w:rsidRDefault="00A0244A" w:rsidP="00831A10">
      <w:pPr>
        <w:numPr>
          <w:ilvl w:val="0"/>
          <w:numId w:val="4"/>
        </w:numPr>
      </w:pPr>
      <w:r w:rsidRPr="00BC7219">
        <w:t>i henhold til pasientrettighetsloven § 3-6 skal opplysninger om legems- og sykdomsforhold og andre personopplysninger behandles i samsvar med gjeldende bestemmelser om taushetsplikt</w:t>
      </w:r>
    </w:p>
    <w:p w:rsidR="00A0244A" w:rsidRPr="00BC7219" w:rsidRDefault="00A0244A" w:rsidP="00831A10">
      <w:pPr>
        <w:numPr>
          <w:ilvl w:val="0"/>
          <w:numId w:val="4"/>
        </w:numPr>
      </w:pPr>
      <w:r w:rsidRPr="00BC7219">
        <w:t>i henhold til forvaltningsloven § 13 plikter enhver som utfører tjeneste for et forvaltningsorgan å hindre at andre får kjennskap til det han gjennom tjenesten får vite om noens personlige forhold og om tekniske innretninger, fremgangsmåter og forretningsforhold av konkurransemessig betydning</w:t>
      </w:r>
    </w:p>
    <w:p w:rsidR="00A0244A" w:rsidRPr="00BC7219" w:rsidRDefault="00A0244A" w:rsidP="00831A10">
      <w:pPr>
        <w:numPr>
          <w:ilvl w:val="0"/>
          <w:numId w:val="4"/>
        </w:numPr>
      </w:pPr>
      <w:r w:rsidRPr="00BC7219">
        <w:t>i henhold til personopplysningsforskriften § 2-9 skal medarbeidere pålegges taushetsplikt for personopplysninger det må sikres konfidensialitet for. Det skal sikres mot uautorisert innsyn i så vel personopplysninger som i informasjon med betydning for informasjonssikkerheten, jf. § 2-11.</w:t>
      </w:r>
    </w:p>
    <w:p w:rsidR="00A0244A" w:rsidRPr="00BC7219" w:rsidRDefault="00A0244A" w:rsidP="00BC7219"/>
    <w:p w:rsidR="00A0244A" w:rsidRPr="00BC7219" w:rsidRDefault="00A0244A" w:rsidP="00BC7219">
      <w:pPr>
        <w:rPr>
          <w:b/>
        </w:rPr>
      </w:pPr>
      <w:r w:rsidRPr="00BC7219">
        <w:rPr>
          <w:b/>
        </w:rPr>
        <w:lastRenderedPageBreak/>
        <w:t>Taushetsbrudd</w:t>
      </w:r>
    </w:p>
    <w:p w:rsidR="00A0244A" w:rsidRPr="00BC7219" w:rsidRDefault="00A0244A" w:rsidP="00BC7219">
      <w:r w:rsidRPr="00BC7219">
        <w:t>I henhold til helsepersonelloven § 67 er det straffbart å overtre bestemmelsene i helsepersonelloven, herunder bestemmelsene om taushetsplikt.</w:t>
      </w:r>
    </w:p>
    <w:p w:rsidR="00A0244A" w:rsidRPr="00BC7219" w:rsidRDefault="00A0244A" w:rsidP="00BC7219"/>
    <w:p w:rsidR="00A0244A" w:rsidRPr="00BC7219" w:rsidRDefault="00A0244A" w:rsidP="00BC7219">
      <w:r w:rsidRPr="00BC7219">
        <w:t>I henhold til straffeloven § 121 er det straffbart å krenke taushetsplikt pålagt i henhold til lovbestemmelse eller gyldig instruks.</w:t>
      </w:r>
    </w:p>
    <w:p w:rsidR="00A0244A" w:rsidRPr="00BC7219" w:rsidRDefault="00A0244A" w:rsidP="00BC7219"/>
    <w:p w:rsidR="00A0244A" w:rsidRPr="00BC7219" w:rsidRDefault="00A0244A" w:rsidP="00BC7219">
      <w:r w:rsidRPr="00BC7219">
        <w:t>Brudd på taushetsbestemmelser vil kunne få konsekvenser for eksterne samarbeidspartnere og deres firma/virksomhet i medhold av straffeloven §§ 121 og 405a.</w:t>
      </w:r>
    </w:p>
    <w:p w:rsidR="00A0244A" w:rsidRPr="00BC7219" w:rsidRDefault="00A0244A" w:rsidP="00BC7219"/>
    <w:p w:rsidR="00A0244A" w:rsidRPr="00BC7219" w:rsidRDefault="00A0244A" w:rsidP="00BC7219">
      <w:r w:rsidRPr="00BC7219">
        <w:t>I henhold til straffeloven § 144 er det straffbart for leger, psykologer, apotekere, jordmødre og sykepleiere rettsstridig å åpenbare hemmeligheter de er betrodd i stillings medfør.</w:t>
      </w:r>
    </w:p>
    <w:p w:rsidR="00A0244A" w:rsidRPr="00BC7219" w:rsidRDefault="00A0244A" w:rsidP="00BC7219"/>
    <w:p w:rsidR="00A0244A" w:rsidRPr="00BC7219" w:rsidRDefault="00BF793D" w:rsidP="00BC7219">
      <w:r w:rsidRPr="00BF793D">
        <w:rPr>
          <w:color w:val="0070C0"/>
        </w:rPr>
        <w:t>[BEDRIFTEN/AVDELINGEN]</w:t>
      </w:r>
      <w:r w:rsidR="00A0244A" w:rsidRPr="00BC7219">
        <w:t xml:space="preserve"> betrakter taushetsbrudd som tjenesteforsømmelse eller brudd på avtale med </w:t>
      </w:r>
      <w:r w:rsidRPr="00BF793D">
        <w:rPr>
          <w:color w:val="0070C0"/>
        </w:rPr>
        <w:t>[BEDRIFTEN/AVDELINGEN]</w:t>
      </w:r>
      <w:r w:rsidR="00A0244A" w:rsidRPr="00BC7219">
        <w:t>. Taushetsbrudd kan få følger for ansettelses- eller avtaleforhold.</w:t>
      </w:r>
    </w:p>
    <w:p w:rsidR="00A0244A" w:rsidRPr="00BC7219" w:rsidRDefault="00A0244A" w:rsidP="00BC7219">
      <w:bookmarkStart w:id="6" w:name="_GoBack"/>
      <w:bookmarkEnd w:id="6"/>
    </w:p>
    <w:p w:rsidR="00A0244A" w:rsidRPr="000E7A99" w:rsidRDefault="00A0244A" w:rsidP="00BC7219">
      <w:pPr>
        <w:rPr>
          <w:b/>
        </w:rPr>
      </w:pPr>
      <w:r w:rsidRPr="000E7A99">
        <w:rPr>
          <w:b/>
        </w:rPr>
        <w:t>Erklæring</w:t>
      </w:r>
    </w:p>
    <w:p w:rsidR="00A0244A" w:rsidRPr="00BC7219" w:rsidRDefault="00A0244A" w:rsidP="00BC7219">
      <w:r w:rsidRPr="00BC7219">
        <w:t>Undertegnede er kjent med den lovpålagte taushetsplikt som gjelder, herunder hvilke opplysninger som er omfattet av taushetsplikten og at taushetsbrudd kan medføre straffeansvar</w:t>
      </w:r>
      <w:r w:rsidR="0071676F" w:rsidRPr="00BC7219">
        <w:t>.</w:t>
      </w:r>
      <w:r w:rsidRPr="00BC7219">
        <w:t xml:space="preserve"> Undertegnede er videre kjent med at i </w:t>
      </w:r>
      <w:r w:rsidR="0071676F" w:rsidRPr="00BC7219">
        <w:t>Oslo universitetssykehus</w:t>
      </w:r>
      <w:r w:rsidRPr="00BC7219">
        <w:t xml:space="preserve"> </w:t>
      </w:r>
      <w:r w:rsidR="00BE30D1" w:rsidRPr="00BC7219">
        <w:t>b</w:t>
      </w:r>
      <w:r w:rsidRPr="00BC7219">
        <w:t>etraktes taushetsbrudd som tjenesteforsømmelse/brudd på avtale med sykehuset.</w:t>
      </w:r>
    </w:p>
    <w:p w:rsidR="00A0244A" w:rsidRDefault="00A0244A" w:rsidP="00BC7219"/>
    <w:p w:rsidR="00BA0527" w:rsidRPr="00BC7219" w:rsidRDefault="00BA0527" w:rsidP="00BC7219"/>
    <w:tbl>
      <w:tblPr>
        <w:tblW w:w="10135" w:type="dxa"/>
        <w:tblLayout w:type="fixed"/>
        <w:tblCellMar>
          <w:left w:w="70" w:type="dxa"/>
          <w:right w:w="70" w:type="dxa"/>
        </w:tblCellMar>
        <w:tblLook w:val="0000" w:firstRow="0" w:lastRow="0" w:firstColumn="0" w:lastColumn="0" w:noHBand="0" w:noVBand="0"/>
      </w:tblPr>
      <w:tblGrid>
        <w:gridCol w:w="921"/>
        <w:gridCol w:w="9214"/>
      </w:tblGrid>
      <w:tr w:rsidR="00A0244A" w:rsidRPr="00BC7219">
        <w:tblPrEx>
          <w:tblCellMar>
            <w:top w:w="0" w:type="dxa"/>
            <w:bottom w:w="0" w:type="dxa"/>
          </w:tblCellMar>
        </w:tblPrEx>
        <w:trPr>
          <w:cantSplit/>
        </w:trPr>
        <w:tc>
          <w:tcPr>
            <w:tcW w:w="10135" w:type="dxa"/>
            <w:gridSpan w:val="2"/>
          </w:tcPr>
          <w:p w:rsidR="00A0244A" w:rsidRPr="00BC7219" w:rsidRDefault="00A0244A" w:rsidP="00BC7219">
            <w:r w:rsidRPr="00BC7219">
              <w:t>SIGNATUR:</w:t>
            </w:r>
          </w:p>
        </w:tc>
      </w:tr>
      <w:tr w:rsidR="00A0244A" w:rsidRPr="00BC7219">
        <w:tblPrEx>
          <w:tblCellMar>
            <w:top w:w="0" w:type="dxa"/>
            <w:bottom w:w="0" w:type="dxa"/>
          </w:tblCellMar>
        </w:tblPrEx>
        <w:trPr>
          <w:cantSplit/>
        </w:trPr>
        <w:tc>
          <w:tcPr>
            <w:tcW w:w="921" w:type="dxa"/>
            <w:tcBorders>
              <w:top w:val="single" w:sz="12" w:space="0" w:color="auto"/>
              <w:left w:val="single" w:sz="12" w:space="0" w:color="auto"/>
              <w:right w:val="single" w:sz="6" w:space="0" w:color="auto"/>
            </w:tcBorders>
          </w:tcPr>
          <w:p w:rsidR="00A0244A" w:rsidRPr="00BC7219" w:rsidRDefault="00A0244A" w:rsidP="00BC7219">
            <w:r w:rsidRPr="00BC7219">
              <w:t>Dato:</w:t>
            </w:r>
          </w:p>
        </w:tc>
        <w:tc>
          <w:tcPr>
            <w:tcW w:w="9214" w:type="dxa"/>
            <w:tcBorders>
              <w:top w:val="single" w:sz="12" w:space="0" w:color="auto"/>
              <w:left w:val="single" w:sz="6" w:space="0" w:color="auto"/>
              <w:right w:val="single" w:sz="12" w:space="0" w:color="auto"/>
            </w:tcBorders>
          </w:tcPr>
          <w:p w:rsidR="00A0244A" w:rsidRPr="00BC7219" w:rsidRDefault="000E7A99" w:rsidP="00BC7219">
            <w:r>
              <w:fldChar w:fldCharType="begin">
                <w:ffData>
                  <w:name w:val="Tekst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965D33" w:rsidRPr="00BC7219">
        <w:tblPrEx>
          <w:tblCellMar>
            <w:top w:w="0" w:type="dxa"/>
            <w:bottom w:w="0" w:type="dxa"/>
          </w:tblCellMar>
        </w:tblPrEx>
        <w:trPr>
          <w:cantSplit/>
        </w:trPr>
        <w:tc>
          <w:tcPr>
            <w:tcW w:w="10135" w:type="dxa"/>
            <w:gridSpan w:val="2"/>
            <w:tcBorders>
              <w:left w:val="single" w:sz="12" w:space="0" w:color="auto"/>
              <w:bottom w:val="single" w:sz="12" w:space="0" w:color="auto"/>
              <w:right w:val="single" w:sz="12" w:space="0" w:color="auto"/>
            </w:tcBorders>
          </w:tcPr>
          <w:p w:rsidR="00965D33" w:rsidRPr="00BC7219" w:rsidRDefault="00965D33" w:rsidP="00BC7219"/>
          <w:p w:rsidR="00965D33" w:rsidRPr="00BC7219" w:rsidRDefault="00965D33" w:rsidP="00BC7219"/>
          <w:p w:rsidR="00965D33" w:rsidRPr="00BC7219" w:rsidRDefault="00965D33" w:rsidP="00BC7219">
            <w:r w:rsidRPr="00BC7219">
              <w:t>____________________________________</w:t>
            </w:r>
          </w:p>
          <w:p w:rsidR="00965D33" w:rsidRPr="00BC7219" w:rsidRDefault="00965D33" w:rsidP="00BC7219">
            <w:r w:rsidRPr="00BC7219">
              <w:t>Avtale, arbeids- og oppdragstaker</w:t>
            </w:r>
          </w:p>
        </w:tc>
      </w:tr>
    </w:tbl>
    <w:p w:rsidR="00015FA3" w:rsidRPr="00BC7219" w:rsidRDefault="00015FA3" w:rsidP="00BC7219"/>
    <w:sectPr w:rsidR="00015FA3" w:rsidRPr="00BC7219" w:rsidSect="0022687D">
      <w:headerReference w:type="default" r:id="rId8"/>
      <w:footerReference w:type="default" r:id="rId9"/>
      <w:footerReference w:type="first" r:id="rId10"/>
      <w:pgSz w:w="11907" w:h="16840" w:code="9"/>
      <w:pgMar w:top="444" w:right="992" w:bottom="993" w:left="1134" w:header="427" w:footer="25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285" w:rsidRDefault="00D16285">
      <w:r>
        <w:separator/>
      </w:r>
    </w:p>
  </w:endnote>
  <w:endnote w:type="continuationSeparator" w:id="0">
    <w:p w:rsidR="00D16285" w:rsidRDefault="00D1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MM_565 SB 600 NO">
    <w:panose1 w:val="00000000000000000000"/>
    <w:charset w:val="00"/>
    <w:family w:val="swiss"/>
    <w:notTrueType/>
    <w:pitch w:val="variable"/>
    <w:sig w:usb0="00000003" w:usb1="00000000" w:usb2="00000000" w:usb3="00000000" w:csb0="00000001" w:csb1="00000000"/>
  </w:font>
  <w:font w:name="MyriaMM_400 RG 600 N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57" w:type="dxa"/>
      </w:tblCellMar>
      <w:tblLook w:val="01E0" w:firstRow="1" w:lastRow="1" w:firstColumn="1" w:lastColumn="1" w:noHBand="0" w:noVBand="0"/>
    </w:tblPr>
    <w:tblGrid>
      <w:gridCol w:w="1176"/>
      <w:gridCol w:w="2709"/>
      <w:gridCol w:w="588"/>
      <w:gridCol w:w="3365"/>
      <w:gridCol w:w="1984"/>
    </w:tblGrid>
    <w:tr w:rsidR="00ED55A6" w:rsidRPr="00E97C00" w:rsidTr="00E97C00">
      <w:tc>
        <w:tcPr>
          <w:tcW w:w="1176" w:type="dxa"/>
        </w:tcPr>
        <w:p w:rsidR="00ED55A6" w:rsidRPr="00E97C00" w:rsidRDefault="00ED55A6" w:rsidP="00E97C00">
          <w:pPr>
            <w:pStyle w:val="Bunntekst"/>
            <w:tabs>
              <w:tab w:val="clear" w:pos="4819"/>
              <w:tab w:val="clear" w:pos="9071"/>
            </w:tabs>
            <w:rPr>
              <w:sz w:val="16"/>
            </w:rPr>
          </w:pPr>
          <w:r w:rsidRPr="00E97C00">
            <w:rPr>
              <w:sz w:val="16"/>
            </w:rPr>
            <w:t>Utarbeidet av:</w:t>
          </w:r>
        </w:p>
      </w:tc>
      <w:tc>
        <w:tcPr>
          <w:tcW w:w="2709" w:type="dxa"/>
        </w:tcPr>
        <w:p w:rsidR="00ED55A6" w:rsidRPr="00E97C00" w:rsidRDefault="00ED55A6" w:rsidP="00E97C00">
          <w:pPr>
            <w:pStyle w:val="Bunntekst"/>
            <w:tabs>
              <w:tab w:val="clear" w:pos="4819"/>
              <w:tab w:val="clear" w:pos="9071"/>
            </w:tabs>
            <w:rPr>
              <w:sz w:val="16"/>
            </w:rPr>
          </w:pPr>
          <w:r w:rsidRPr="00E97C00">
            <w:rPr>
              <w:sz w:val="16"/>
            </w:rPr>
            <w:t>Susanne Flølo</w:t>
          </w:r>
        </w:p>
      </w:tc>
      <w:tc>
        <w:tcPr>
          <w:tcW w:w="588" w:type="dxa"/>
        </w:tcPr>
        <w:p w:rsidR="00ED55A6" w:rsidRPr="00E97C00" w:rsidRDefault="00ED55A6" w:rsidP="00E97C00">
          <w:pPr>
            <w:pStyle w:val="Bunntekst"/>
            <w:tabs>
              <w:tab w:val="clear" w:pos="4819"/>
              <w:tab w:val="clear" w:pos="9071"/>
            </w:tabs>
            <w:rPr>
              <w:sz w:val="16"/>
            </w:rPr>
          </w:pPr>
          <w:r w:rsidRPr="00E97C00">
            <w:rPr>
              <w:sz w:val="16"/>
            </w:rPr>
            <w:t>Enhet:</w:t>
          </w:r>
        </w:p>
      </w:tc>
      <w:tc>
        <w:tcPr>
          <w:tcW w:w="3365" w:type="dxa"/>
        </w:tcPr>
        <w:p w:rsidR="00ED55A6" w:rsidRPr="00E97C00" w:rsidRDefault="00ED55A6" w:rsidP="00E97C00">
          <w:pPr>
            <w:pStyle w:val="Bunntekst"/>
            <w:tabs>
              <w:tab w:val="clear" w:pos="4819"/>
              <w:tab w:val="clear" w:pos="9071"/>
            </w:tabs>
            <w:rPr>
              <w:sz w:val="16"/>
            </w:rPr>
          </w:pPr>
          <w:r w:rsidRPr="00E97C00">
            <w:rPr>
              <w:sz w:val="16"/>
            </w:rPr>
            <w:t>HR-staben</w:t>
          </w:r>
        </w:p>
      </w:tc>
      <w:tc>
        <w:tcPr>
          <w:tcW w:w="1984" w:type="dxa"/>
        </w:tcPr>
        <w:p w:rsidR="00ED55A6" w:rsidRPr="00E97C00" w:rsidRDefault="00ED55A6" w:rsidP="00E97C00">
          <w:pPr>
            <w:pStyle w:val="Bunntekst"/>
            <w:tabs>
              <w:tab w:val="clear" w:pos="4819"/>
              <w:tab w:val="clear" w:pos="9071"/>
            </w:tabs>
            <w:jc w:val="right"/>
            <w:rPr>
              <w:sz w:val="16"/>
            </w:rPr>
          </w:pPr>
          <w:r w:rsidRPr="00E97C00">
            <w:rPr>
              <w:snapToGrid w:val="0"/>
              <w:sz w:val="16"/>
            </w:rPr>
            <w:t xml:space="preserve">Side </w:t>
          </w:r>
          <w:r w:rsidRPr="00E97C00">
            <w:rPr>
              <w:snapToGrid w:val="0"/>
              <w:sz w:val="16"/>
            </w:rPr>
            <w:fldChar w:fldCharType="begin"/>
          </w:r>
          <w:r w:rsidRPr="00E97C00">
            <w:rPr>
              <w:snapToGrid w:val="0"/>
              <w:sz w:val="16"/>
            </w:rPr>
            <w:instrText xml:space="preserve"> PAGE </w:instrText>
          </w:r>
          <w:r w:rsidRPr="00E97C00">
            <w:rPr>
              <w:snapToGrid w:val="0"/>
              <w:sz w:val="16"/>
            </w:rPr>
            <w:fldChar w:fldCharType="separate"/>
          </w:r>
          <w:r w:rsidR="00BF793D">
            <w:rPr>
              <w:noProof/>
              <w:snapToGrid w:val="0"/>
              <w:sz w:val="16"/>
            </w:rPr>
            <w:t>2</w:t>
          </w:r>
          <w:r w:rsidRPr="00E97C00">
            <w:rPr>
              <w:snapToGrid w:val="0"/>
              <w:sz w:val="16"/>
            </w:rPr>
            <w:fldChar w:fldCharType="end"/>
          </w:r>
          <w:r w:rsidRPr="00E97C00">
            <w:rPr>
              <w:snapToGrid w:val="0"/>
              <w:sz w:val="16"/>
            </w:rPr>
            <w:t xml:space="preserve"> av </w:t>
          </w:r>
          <w:r w:rsidRPr="00E97C00">
            <w:rPr>
              <w:snapToGrid w:val="0"/>
              <w:sz w:val="16"/>
            </w:rPr>
            <w:fldChar w:fldCharType="begin"/>
          </w:r>
          <w:r w:rsidRPr="00E97C00">
            <w:rPr>
              <w:snapToGrid w:val="0"/>
              <w:sz w:val="16"/>
            </w:rPr>
            <w:instrText xml:space="preserve"> NUMPAGES </w:instrText>
          </w:r>
          <w:r w:rsidRPr="00E97C00">
            <w:rPr>
              <w:snapToGrid w:val="0"/>
              <w:sz w:val="16"/>
            </w:rPr>
            <w:fldChar w:fldCharType="separate"/>
          </w:r>
          <w:r w:rsidR="00BF793D">
            <w:rPr>
              <w:noProof/>
              <w:snapToGrid w:val="0"/>
              <w:sz w:val="16"/>
            </w:rPr>
            <w:t>2</w:t>
          </w:r>
          <w:r w:rsidRPr="00E97C00">
            <w:rPr>
              <w:snapToGrid w:val="0"/>
              <w:sz w:val="16"/>
            </w:rPr>
            <w:fldChar w:fldCharType="end"/>
          </w:r>
        </w:p>
      </w:tc>
    </w:tr>
  </w:tbl>
  <w:p w:rsidR="00ED55A6" w:rsidRDefault="00ED55A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A6" w:rsidRPr="00410441" w:rsidRDefault="00ED55A6" w:rsidP="00410441">
    <w:pPr>
      <w:pStyle w:val="Bunntekst"/>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285" w:rsidRDefault="00D16285">
      <w:r>
        <w:separator/>
      </w:r>
    </w:p>
  </w:footnote>
  <w:footnote w:type="continuationSeparator" w:id="0">
    <w:p w:rsidR="00D16285" w:rsidRDefault="00D1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A6" w:rsidRDefault="00ED55A6" w:rsidP="006122E6">
    <w:pPr>
      <w:jc w:val="center"/>
    </w:pPr>
  </w:p>
  <w:p w:rsidR="00ED55A6" w:rsidRPr="006122E6" w:rsidRDefault="00ED55A6" w:rsidP="006122E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F49A9"/>
    <w:multiLevelType w:val="multilevel"/>
    <w:tmpl w:val="B5286C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51"/>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pStyle w:val="Overskrift5"/>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518064A8"/>
    <w:multiLevelType w:val="hybridMultilevel"/>
    <w:tmpl w:val="B2505566"/>
    <w:lvl w:ilvl="0" w:tplc="B9E89710">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9E3B82"/>
    <w:multiLevelType w:val="hybridMultilevel"/>
    <w:tmpl w:val="6EF2C18E"/>
    <w:lvl w:ilvl="0" w:tplc="993AE5F6">
      <w:start w:val="1"/>
      <w:numFmt w:val="bullet"/>
      <w:lvlText w:val=""/>
      <w:lvlJc w:val="left"/>
      <w:pPr>
        <w:tabs>
          <w:tab w:val="num" w:pos="644"/>
        </w:tabs>
        <w:ind w:left="644" w:hanging="284"/>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6D303D"/>
    <w:multiLevelType w:val="hybridMultilevel"/>
    <w:tmpl w:val="8C422C7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lab_avdeling"/>
    <w:docVar w:name="Avsnitt" w:val="lab_avsnitt"/>
    <w:docVar w:name="Bedriftsnavn" w:val="DNR"/>
    <w:docVar w:name="beskyttet" w:val="nei"/>
    <w:docVar w:name="docver" w:val="2.11"/>
    <w:docVar w:name="DokTittel" w:val="[DokTittel]"/>
    <w:docVar w:name="ek_dbfields" w:val="EK_Avdeling_x0002_4_x0002__x0003_EK_Avsnitt_x0002_4_x0002__x0003_EK_Bedriftsnavn_x0002_1_x0002_R-R_x0003_EK_GjelderFra_x0002_0_x0002__x0003_EK_Opprettet_x0002_0_x0002_31.05.2006_x0003_EK_Utgitt_x0002_0_x0002__x0003_EK_IBrukDato_x0002_0_x0002__x0003_EK_DokumentID_x0002_0_x0002_D13451_x0003_EK_DokTittel_x0002_0_x0002_Taushetserklæring_x0003_EK_DokType_x0002_0_x0002__x0003_EK_EksRef_x0002_2_x0002_ 0_x0009__x0003_EK_Erstatter_x0002_0_x0002__x0003_EK_ErstatterD_x0002_0_x0002__x0003_EK_Signatur_x0002_0_x0002__x0003_EK_Gradering_x0002_0_x0002_Åpen_x0003_EK_Gradnr_x0002_4_x0002_0_x0003_EK_Kapittel_x0002_4_x0002__x0003_EK_Referanse_x0002_2_x0002_ 0_x0009__x0003_EK_RefNr_x0002_0_x0002_1-ADM.9.2_x0003_EK_Revisjon_x0002_0_x0002_-_x0003_EK_Ansvarlig_x0002_0_x0002_&lt;ingen&gt;_x0003_EK_SkrevetAv_x0002_0_x0002__x0003_EK_DokAnsvNavn_x0002_0_x0002__x0003_EK_UText2_x0002_0_x0002__x0003_EK_UText3_x0002_0_x0002__x0003_EK_UText4_x0002_0_x0002__x0003_EK_Status_x0002_0_x0002_Skrives_x0003_EK_Stikkord_x0002_0_x0002__x0003_EK_Rapport_x0002_3_x0002__x0003_EK_EKPrintMerke_x0002_0_x0002_Uoffisiell utskrift er kun gyldig på utskriftsdato_x0003_EK_Utgave_x0002_0_x0002_0.00_x0003_EK_Merknad_x0002_0_x0002_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2_x0003_EK_GjelderTil_x0002_0_x0002__x0003_EK_Vedlegg_x0002_2_x0002_ 0_x0009__x0003_EK_AvdelingOver_x0002_4_x0002__x0003_EK_HRefNr_x0002_0_x0002__x0003_EK_DokRefnr_x0002_4_x0002_00010109_x0003_EK_Dokendrdato_x0002_4_x0002_31.05.2006 12:47:20_x0003_EK_HbType_x0002_4_x0002__x0003_EK_Offisiell_x0002_4_x0002__x0003_EK_VedleggRef_x0002_4_x0002_1-ADM.9.2_x0003_EK_Strukt00_x0002_5_x0002__x0005_1_x0005_R-R nivå 1 - Felles styrende dokumenter_x0005_0_x0005_-1_x0004_-_x0005_ADM_x0005_Administrative rutiner - innkjøp, personal og økonomi_x0005_1_x0005_0_x0004_._x0005_9_x0005_Skjema/blanketter/maler_x0005_0_x0005_0_x0004_\_x0003_EK_Strukt01_x0002_5_x0002__x0003_EK_Pub_x0002_6_x0002__x0003_EKR_Doktittel_x0002_0_x0002__x0003_EKR_DokumentID_x0002_0_x0002__x0003_EKR_RefNr_x0002_0_x0002__x0003_EKR_Gradering_x0002_0_x0002__x0003_EKR_Signatur_x0002_0_x0002__x0003_EKR_Dokeier_x0002_0_x0002__x0003_EKR_Status_x0002_0_x0002__x0003_EKR_Opprettet_x0002_0_x0002__x0003_EKR_Endret_x0002_0_x0002__x0003_EKR_Ibruk_x0002_0_x0002__x0003_EKR_SkrevetAv_x0002_0_x0002__x0003_EKR_UText1_x0002_0_x0002__x0003_EKR_UText2_x0002_0_x0002__x0003_EKR_UText3_x0002_0_x0002__x0003_EKR_UText4_x0002_0_x0002__x0003_EKR_DokRefnr_x0002_4_x0002__x0003_EKR_Gradnr_x0002_4_x0002__x0003_"/>
    <w:docVar w:name="EK_TYPE" w:val="ARB"/>
    <w:docVar w:name="EksRef" w:val="[EksRef]"/>
    <w:docVar w:name="Erstatter" w:val="lab_erstatter"/>
    <w:docVar w:name="GjelderFra" w:val="[GjelderFra]"/>
    <w:docVar w:name="Kapittel" w:val="[Kapittel]"/>
    <w:docVar w:name="KHB" w:val="nei"/>
    <w:docVar w:name="Mappe2" w:val="[Mappe2]"/>
    <w:docVar w:name="RefNr" w:val="[RefNr]"/>
    <w:docVar w:name="skitten" w:val="0"/>
    <w:docVar w:name="Stikkord" w:val="[Stikkord]"/>
    <w:docVar w:name="Tittel" w:val="Dette er en Test tittel."/>
  </w:docVars>
  <w:rsids>
    <w:rsidRoot w:val="001E1098"/>
    <w:rsid w:val="00015FA3"/>
    <w:rsid w:val="0004097D"/>
    <w:rsid w:val="00057893"/>
    <w:rsid w:val="00061902"/>
    <w:rsid w:val="000C1EC6"/>
    <w:rsid w:val="000E7A99"/>
    <w:rsid w:val="001A524C"/>
    <w:rsid w:val="001E1098"/>
    <w:rsid w:val="001F25EA"/>
    <w:rsid w:val="001F516A"/>
    <w:rsid w:val="0022687D"/>
    <w:rsid w:val="00250478"/>
    <w:rsid w:val="002A3173"/>
    <w:rsid w:val="003229AC"/>
    <w:rsid w:val="00340C57"/>
    <w:rsid w:val="0037306E"/>
    <w:rsid w:val="003A4D39"/>
    <w:rsid w:val="003D35AB"/>
    <w:rsid w:val="003E6557"/>
    <w:rsid w:val="0040197C"/>
    <w:rsid w:val="00410441"/>
    <w:rsid w:val="004F1DD5"/>
    <w:rsid w:val="00507970"/>
    <w:rsid w:val="005502DC"/>
    <w:rsid w:val="005670F4"/>
    <w:rsid w:val="005B6C5D"/>
    <w:rsid w:val="006109C9"/>
    <w:rsid w:val="006122E6"/>
    <w:rsid w:val="006138DE"/>
    <w:rsid w:val="006355E0"/>
    <w:rsid w:val="00651BF5"/>
    <w:rsid w:val="00696B83"/>
    <w:rsid w:val="006A7B15"/>
    <w:rsid w:val="006C2367"/>
    <w:rsid w:val="006D0F07"/>
    <w:rsid w:val="0071615B"/>
    <w:rsid w:val="0071676F"/>
    <w:rsid w:val="00727048"/>
    <w:rsid w:val="00795F78"/>
    <w:rsid w:val="0081187E"/>
    <w:rsid w:val="00831A10"/>
    <w:rsid w:val="00832F38"/>
    <w:rsid w:val="00845030"/>
    <w:rsid w:val="008B6EF3"/>
    <w:rsid w:val="008D059B"/>
    <w:rsid w:val="008E1085"/>
    <w:rsid w:val="00965D33"/>
    <w:rsid w:val="00972066"/>
    <w:rsid w:val="0097273C"/>
    <w:rsid w:val="00980606"/>
    <w:rsid w:val="009A687E"/>
    <w:rsid w:val="009E6C4E"/>
    <w:rsid w:val="009E73FD"/>
    <w:rsid w:val="00A0244A"/>
    <w:rsid w:val="00A155C3"/>
    <w:rsid w:val="00AA4C5D"/>
    <w:rsid w:val="00AA74AB"/>
    <w:rsid w:val="00B234A8"/>
    <w:rsid w:val="00BA0527"/>
    <w:rsid w:val="00BC7219"/>
    <w:rsid w:val="00BE30D1"/>
    <w:rsid w:val="00BF793D"/>
    <w:rsid w:val="00C2643A"/>
    <w:rsid w:val="00C35E23"/>
    <w:rsid w:val="00C47D0C"/>
    <w:rsid w:val="00C53FED"/>
    <w:rsid w:val="00CA52DD"/>
    <w:rsid w:val="00CF5EC1"/>
    <w:rsid w:val="00D079A7"/>
    <w:rsid w:val="00D16285"/>
    <w:rsid w:val="00E065E1"/>
    <w:rsid w:val="00E07E80"/>
    <w:rsid w:val="00E523BC"/>
    <w:rsid w:val="00E91BB7"/>
    <w:rsid w:val="00E97C00"/>
    <w:rsid w:val="00EC0177"/>
    <w:rsid w:val="00ED55A6"/>
    <w:rsid w:val="00F7225C"/>
    <w:rsid w:val="00FA31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1"/>
    </o:shapelayout>
  </w:shapeDefaults>
  <w:decimalSymbol w:val=","/>
  <w:listSeparator w:val=";"/>
  <w14:docId w14:val="6BDA79B4"/>
  <w15:chartTrackingRefBased/>
  <w15:docId w15:val="{7B4A422D-0610-4015-85C8-3C15271D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219"/>
    <w:rPr>
      <w:rFonts w:ascii="Calibri" w:hAnsi="Calibri"/>
      <w:sz w:val="22"/>
    </w:rPr>
  </w:style>
  <w:style w:type="paragraph" w:styleId="Overskrift1">
    <w:name w:val="heading 1"/>
    <w:basedOn w:val="Normal"/>
    <w:next w:val="Normal"/>
    <w:qFormat/>
    <w:rsid w:val="00BC7219"/>
    <w:pPr>
      <w:spacing w:after="120"/>
      <w:ind w:left="1134" w:hanging="1134"/>
      <w:outlineLvl w:val="0"/>
    </w:pPr>
    <w:rPr>
      <w:rFonts w:ascii="Cambria" w:hAnsi="Cambria"/>
      <w:b/>
      <w:sz w:val="32"/>
    </w:rPr>
  </w:style>
  <w:style w:type="paragraph" w:styleId="Overskrift2">
    <w:name w:val="heading 2"/>
    <w:basedOn w:val="Normal"/>
    <w:next w:val="Overskrift1"/>
    <w:qFormat/>
    <w:rsid w:val="00BC7219"/>
    <w:pPr>
      <w:keepNext/>
      <w:outlineLvl w:val="1"/>
    </w:pPr>
    <w:rPr>
      <w:rFonts w:ascii="Cambria" w:hAnsi="Cambria"/>
      <w:b/>
      <w:sz w:val="28"/>
    </w:rPr>
  </w:style>
  <w:style w:type="paragraph" w:styleId="Overskrift3">
    <w:name w:val="heading 3"/>
    <w:basedOn w:val="Normal"/>
    <w:next w:val="Normal"/>
    <w:qFormat/>
    <w:rsid w:val="00BC7219"/>
    <w:pPr>
      <w:keepNext/>
      <w:spacing w:after="60"/>
      <w:outlineLvl w:val="2"/>
    </w:pPr>
    <w:rPr>
      <w:rFonts w:ascii="Cambria" w:hAnsi="Cambria"/>
      <w:b/>
      <w:sz w:val="28"/>
    </w:rPr>
  </w:style>
  <w:style w:type="paragraph" w:styleId="Overskrift4">
    <w:name w:val="heading 4"/>
    <w:basedOn w:val="Normal"/>
    <w:next w:val="Vanliginnrykk"/>
    <w:qFormat/>
    <w:rsid w:val="00BC7219"/>
    <w:pPr>
      <w:spacing w:after="60"/>
      <w:outlineLvl w:val="3"/>
    </w:pPr>
    <w:rPr>
      <w:rFonts w:ascii="Cambria" w:hAnsi="Cambria"/>
      <w:b/>
    </w:rPr>
  </w:style>
  <w:style w:type="paragraph" w:styleId="Overskrift5">
    <w:name w:val="heading 5"/>
    <w:basedOn w:val="Normal"/>
    <w:next w:val="Vanliginnrykk"/>
    <w:qFormat/>
    <w:rsid w:val="00BC7219"/>
    <w:pPr>
      <w:numPr>
        <w:ilvl w:val="4"/>
        <w:numId w:val="3"/>
      </w:numPr>
      <w:outlineLvl w:val="4"/>
    </w:pPr>
    <w:rPr>
      <w:b/>
      <w:i/>
    </w:rPr>
  </w:style>
  <w:style w:type="paragraph" w:styleId="Overskrift6">
    <w:name w:val="heading 6"/>
    <w:basedOn w:val="Normal"/>
    <w:next w:val="Normal"/>
    <w:qFormat/>
    <w:rsid w:val="00E065E1"/>
    <w:pPr>
      <w:outlineLvl w:val="5"/>
    </w:pPr>
  </w:style>
  <w:style w:type="character" w:default="1" w:styleId="Standardskriftforavsnitt">
    <w:name w:val="Default Paragraph Font"/>
    <w:semiHidden/>
    <w:rsid w:val="00BC7219"/>
  </w:style>
  <w:style w:type="table" w:default="1" w:styleId="Vanligtabell">
    <w:name w:val="Normal Table"/>
    <w:semiHidden/>
    <w:rsid w:val="00E065E1"/>
    <w:rPr>
      <w:rFonts w:ascii="Times New Roman" w:hAnsi="Times New Roman"/>
    </w:rPr>
    <w:tblPr>
      <w:tblInd w:w="0" w:type="dxa"/>
      <w:tblCellMar>
        <w:top w:w="0" w:type="dxa"/>
        <w:left w:w="108" w:type="dxa"/>
        <w:bottom w:w="0" w:type="dxa"/>
        <w:right w:w="108" w:type="dxa"/>
      </w:tblCellMar>
    </w:tblPr>
  </w:style>
  <w:style w:type="numbering" w:default="1" w:styleId="Ingenliste">
    <w:name w:val="No List"/>
    <w:semiHidden/>
    <w:rsid w:val="00BC7219"/>
  </w:style>
  <w:style w:type="paragraph" w:styleId="Bunntekst">
    <w:name w:val="footer"/>
    <w:basedOn w:val="Normal"/>
    <w:rsid w:val="00E065E1"/>
    <w:pPr>
      <w:tabs>
        <w:tab w:val="center" w:pos="4819"/>
        <w:tab w:val="right" w:pos="9071"/>
      </w:tabs>
    </w:pPr>
  </w:style>
  <w:style w:type="paragraph" w:styleId="Topptekst">
    <w:name w:val="header"/>
    <w:basedOn w:val="Normal"/>
    <w:next w:val="Normal"/>
    <w:rsid w:val="00E065E1"/>
    <w:pPr>
      <w:jc w:val="right"/>
    </w:pPr>
    <w:rPr>
      <w:sz w:val="20"/>
    </w:rPr>
  </w:style>
  <w:style w:type="paragraph" w:styleId="Vanliginnrykk">
    <w:name w:val="Normal Indent"/>
    <w:basedOn w:val="Normal"/>
    <w:rsid w:val="00BC7219"/>
    <w:pPr>
      <w:ind w:left="708"/>
    </w:pPr>
  </w:style>
  <w:style w:type="paragraph" w:customStyle="1" w:styleId="StorOverskrift">
    <w:name w:val="StorOverskrift"/>
    <w:basedOn w:val="Normal"/>
    <w:rsid w:val="00E065E1"/>
    <w:rPr>
      <w:sz w:val="40"/>
    </w:rPr>
  </w:style>
  <w:style w:type="paragraph" w:customStyle="1" w:styleId="Uthev2">
    <w:name w:val="Uthev2"/>
    <w:basedOn w:val="Normal"/>
    <w:rsid w:val="00E065E1"/>
    <w:rPr>
      <w:b/>
    </w:rPr>
  </w:style>
  <w:style w:type="paragraph" w:customStyle="1" w:styleId="bunntekststil">
    <w:name w:val="bunntekst_stil"/>
    <w:basedOn w:val="Normal"/>
    <w:next w:val="Normal"/>
    <w:rsid w:val="00E065E1"/>
    <w:pPr>
      <w:pBdr>
        <w:top w:val="single" w:sz="6" w:space="1" w:color="auto"/>
      </w:pBdr>
      <w:jc w:val="right"/>
    </w:pPr>
  </w:style>
  <w:style w:type="paragraph" w:customStyle="1" w:styleId="Punktheading">
    <w:name w:val="Punkt_heading"/>
    <w:basedOn w:val="Normal"/>
    <w:next w:val="Normal"/>
    <w:rsid w:val="00E065E1"/>
    <w:rPr>
      <w:b/>
    </w:rPr>
  </w:style>
  <w:style w:type="paragraph" w:customStyle="1" w:styleId="topptekststil">
    <w:name w:val="topptekst_stil"/>
    <w:basedOn w:val="Topptekst"/>
    <w:next w:val="Normal"/>
    <w:rsid w:val="00E065E1"/>
  </w:style>
  <w:style w:type="paragraph" w:customStyle="1" w:styleId="Ramme">
    <w:name w:val="Ramme "/>
    <w:basedOn w:val="Normal"/>
    <w:next w:val="Normal"/>
    <w:rsid w:val="00E065E1"/>
    <w:pPr>
      <w:framePr w:w="5352" w:h="0" w:hSpace="141" w:wrap="around" w:vAnchor="text" w:hAnchor="page" w:x="2635" w:y="-997"/>
      <w:pBdr>
        <w:top w:val="single" w:sz="6" w:space="1" w:color="auto" w:shadow="1"/>
        <w:left w:val="single" w:sz="6" w:space="1" w:color="auto" w:shadow="1"/>
        <w:bottom w:val="single" w:sz="6" w:space="1" w:color="auto" w:shadow="1"/>
        <w:right w:val="single" w:sz="6" w:space="1" w:color="auto" w:shadow="1"/>
      </w:pBdr>
      <w:jc w:val="center"/>
    </w:pPr>
  </w:style>
  <w:style w:type="paragraph" w:customStyle="1" w:styleId="Xref">
    <w:name w:val="Xref"/>
    <w:basedOn w:val="Normal"/>
    <w:rsid w:val="00E065E1"/>
  </w:style>
  <w:style w:type="paragraph" w:customStyle="1" w:styleId="DBFelt">
    <w:name w:val="DBFelt"/>
    <w:basedOn w:val="Normal"/>
    <w:rsid w:val="00E065E1"/>
    <w:rPr>
      <w:color w:val="808080"/>
    </w:rPr>
  </w:style>
  <w:style w:type="character" w:styleId="Sidetall">
    <w:name w:val="page number"/>
    <w:basedOn w:val="Standardskriftforavsnitt"/>
    <w:rsid w:val="00410441"/>
  </w:style>
  <w:style w:type="table" w:styleId="Tabellrutenett">
    <w:name w:val="Table Grid"/>
    <w:basedOn w:val="Vanligtabell"/>
    <w:rsid w:val="00410441"/>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sedyrenormal">
    <w:name w:val="Prosedyrenormal"/>
    <w:basedOn w:val="Normal"/>
    <w:rsid w:val="00A0244A"/>
    <w:pPr>
      <w:ind w:left="567"/>
    </w:pPr>
    <w:rPr>
      <w:lang w:eastAsia="en-US"/>
    </w:rPr>
  </w:style>
  <w:style w:type="paragraph" w:customStyle="1" w:styleId="Brevnormal">
    <w:name w:val="Brevnormal"/>
    <w:rsid w:val="00A0244A"/>
    <w:pPr>
      <w:ind w:left="1077" w:right="737"/>
    </w:pPr>
    <w:rPr>
      <w:rFonts w:ascii="Times New Roman" w:hAnsi="Times New Roman"/>
      <w:sz w:val="24"/>
    </w:rPr>
  </w:style>
  <w:style w:type="paragraph" w:customStyle="1" w:styleId="Fortrykk">
    <w:name w:val="Fortrykk"/>
    <w:basedOn w:val="Normal"/>
    <w:rsid w:val="00A0244A"/>
    <w:pPr>
      <w:spacing w:before="120" w:after="120"/>
    </w:pPr>
    <w:rPr>
      <w:rFonts w:ascii="MyriaMM_565 SB 600 NO" w:hAnsi="MyriaMM_565 SB 600 NO"/>
      <w:sz w:val="20"/>
    </w:rPr>
  </w:style>
  <w:style w:type="paragraph" w:customStyle="1" w:styleId="Logo">
    <w:name w:val="Logo"/>
    <w:basedOn w:val="Normal"/>
    <w:rsid w:val="00A0244A"/>
    <w:rPr>
      <w:sz w:val="20"/>
    </w:rPr>
  </w:style>
  <w:style w:type="paragraph" w:customStyle="1" w:styleId="Innfylling">
    <w:name w:val="Innfylling"/>
    <w:basedOn w:val="Normal"/>
    <w:rsid w:val="00A0244A"/>
    <w:pPr>
      <w:spacing w:before="120" w:after="120"/>
    </w:pPr>
  </w:style>
  <w:style w:type="paragraph" w:customStyle="1" w:styleId="Blankettekst">
    <w:name w:val="Blankettekst"/>
    <w:basedOn w:val="Normal"/>
    <w:rsid w:val="00A0244A"/>
    <w:rPr>
      <w:rFonts w:ascii="MyriaMM_400 RG 600 NO" w:hAnsi="MyriaMM_400 RG 600 NO"/>
    </w:rPr>
  </w:style>
  <w:style w:type="paragraph" w:customStyle="1" w:styleId="Miniavstand">
    <w:name w:val="Miniavstand"/>
    <w:basedOn w:val="Blankettekst"/>
    <w:rsid w:val="00A0244A"/>
    <w:rPr>
      <w:sz w:val="2"/>
    </w:rPr>
  </w:style>
  <w:style w:type="character" w:styleId="Hyperkobling">
    <w:name w:val="Hyperlink"/>
    <w:rsid w:val="00A0244A"/>
    <w:rPr>
      <w:color w:val="0000FF"/>
      <w:u w:val="single"/>
    </w:rPr>
  </w:style>
  <w:style w:type="paragraph" w:customStyle="1" w:styleId="Adresselinje">
    <w:name w:val="Adresselinje"/>
    <w:rsid w:val="0037306E"/>
    <w:pPr>
      <w:ind w:left="1077"/>
    </w:pPr>
    <w:rPr>
      <w:rFonts w:ascii="Times New Roman" w:hAnsi="Times New Roman"/>
      <w:noProof/>
      <w:sz w:val="24"/>
    </w:rPr>
  </w:style>
  <w:style w:type="paragraph" w:styleId="Brdtekst">
    <w:name w:val="Body Text"/>
    <w:basedOn w:val="Normal"/>
    <w:rsid w:val="00BC7219"/>
    <w:pPr>
      <w:spacing w:after="120"/>
    </w:pPr>
  </w:style>
  <w:style w:type="paragraph" w:customStyle="1" w:styleId="innh1">
    <w:name w:val="innh 1"/>
    <w:basedOn w:val="Normal"/>
    <w:autoRedefine/>
    <w:rsid w:val="00BC7219"/>
    <w:pPr>
      <w:tabs>
        <w:tab w:val="right" w:leader="dot" w:pos="9360"/>
      </w:tabs>
      <w:suppressAutoHyphens/>
      <w:spacing w:before="480"/>
      <w:ind w:left="720" w:right="720" w:hanging="720"/>
    </w:pPr>
    <w:rPr>
      <w:rFonts w:cs="Arial"/>
      <w:b/>
      <w:caps/>
      <w:sz w:val="28"/>
      <w:szCs w:val="28"/>
    </w:rPr>
  </w:style>
  <w:style w:type="paragraph" w:customStyle="1" w:styleId="Stil1">
    <w:name w:val="Stil1"/>
    <w:basedOn w:val="Normal"/>
    <w:rsid w:val="00BC7219"/>
  </w:style>
  <w:style w:type="paragraph" w:styleId="Tittel">
    <w:name w:val="Title"/>
    <w:basedOn w:val="Normal"/>
    <w:qFormat/>
    <w:rsid w:val="00BC7219"/>
    <w:pPr>
      <w:spacing w:before="240" w:after="60"/>
    </w:pPr>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win32\ms\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5428A-495E-46AE-9B0E-36A41A53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1</TotalTime>
  <Pages>2</Pages>
  <Words>659</Words>
  <Characters>3495</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Taushetserklæring</vt:lpstr>
    </vt:vector>
  </TitlesOfParts>
  <Company>Det Norske Radiumhospital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Taushetserklæring</dc:title>
  <dc:subject>00010109|1-ADM.9.2|0</dc:subject>
  <dc:creator>bhansen</dc:creator>
  <cp:keywords/>
  <dc:description>EK_Avdeling_x0002_4_x0002__x0003_EK_Avsnitt_x0002_4_x0002__x0003_EK_Bedriftsnavn_x0002_1_x0002_R-R_x0003_EK_GjelderFra_x0002_0_x0002__x0003_EK_Opprettet_x0002_0_x0002_31.05.2006_x0003_EK_Utgitt_x0002_0_x0002__x0003_EK_IBrukDato_x0002_0_x0002__x0003_EK_DokumentID_x0002_0_x0002_D13451_x0003_EK_DokTittel_x0002_0_x0002_Taushetserklæring_x0003_EK_DokType_x0002_0_x0002__x0003_EK_EksRef_x0002_2_x0002_ 0	_x0003_EK_Erstatter_x0002_0_x0002__x0003_EK_ErstatterD_x0002_0_x0002__x0003_EK_Signatur_x0002_0_x0002__x0003_EK_Gradering_x0002_0_x0002_Åpen_x0003_EK_Gradnr_x0002_4_x0002_0_x0003_EK_Kapittel_x0002_4_x0002__x0003_EK_Referanse_x0002_2_x0002_ 0	_x0003_EK_RefNr_x0002_0_x0002_1-ADM.9.2_x0003_EK_Revisjon_x0002_0_x0002_-_x0003_EK_Ansvarlig_x0002_0_x0002_&lt;ingen&gt;_x0003_EK_SkrevetAv_x0002_0_x0002__x0003_EK_DokAnsvNavn_x0002_0_x0002__x0003_EK_UText2_x0002_0_x0002__x0003_EK_UText3_x0002_0_x0002__x0003_EK_UText4_x0002_0_x0002__x0003_EK_Status_x0002_0_x0002_Skrives_x0003_EK_Stikkord_x0002_0_x0002__x0003_EK_Rapport_x0002_3_x0002__x0003_EK_EKPrintMerke_x0002_0_x0002_Uoffisiell utskrift er kun gyldig på utskriftsdato_x0003_EK_Utgave_x0002_0_x0002_0.00_x0003_EK_Merknad_x0002_0_x0002_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2_x0003_EK_GjelderTil_x0002_0_x0002__x0003_EK_Vedlegg_x0002_2_x0002_ 0	_x0003_EK_AvdelingOver_x0002_4_x0002__x0003_EK_HRefNr_x0002_0_x0002__x0003_EK_DokRefnr_x0002_4_x0002_00010109_x0003_EK_Dokendrdato_x0002_4_x0002_31.05.2006 12:47:20_x0003_EK_HbType_x0002_4_x0002__x0003_EK_Offisiell_x0002_4_x0002__x0003_EK_VedleggRef_x0002_4_x0002_1-ADM.9.2_x0003_EK_Strukt00_x0002_5_x0002__x0005_1_x0005_R-R nivå 1 - Felles styrende dokumenter_x0005_0_x0005_-1_x0004_-_x0005_ADM_x0005_Administrative rutiner - innkjøp, personal og økonomi_x0005_1_x0005_0_x0004_._x0005_9_x0005_Skjema/blanketter/maler_x0005_0_x0005_0_x0004_\_x0003_EK_Strukt01_x0002_5_x0002__x0003_EK_Pub_x0002_6_x0002__x0003_EKR_Doktittel_x0002_0_x0002__x0003_EKR_DokumentID_x0002_0_x0002__x0003_EKR_RefNr_x0002_0_x0002__x0003_EKR_Gradering_x0002_0_x0002__x0003_EKR_Signatur_x0002_0_x0002__x0003_EKR_Dokeier_x0002_0_x0002__x0003_EKR_Status_x0002_0_x0002__x0003_EKR_Opprettet_x0002_0_x0002__x0003_EKR_Endret_x0002_0_x0002__x0003_EKR_Ibruk_x0002_0_x0002__x0003_EKR_SkrevetAv_x0002_0_x0002__x0003_EKR_UText1_x0002_0_x0002__x0003_EKR_UText2_x0002_0_x0002__x0003_EKR_UText3_x0002_0_x0002__x0003_EKR_UText4_x0002_0_x0002__x0003_EKR_DokRefnr_x0002_4_x0002__x0003_EKR_Gradnr_x0002_4_x0002__x0003_</dc:description>
  <cp:lastModifiedBy>Christian Bratsberg</cp:lastModifiedBy>
  <cp:revision>2</cp:revision>
  <cp:lastPrinted>2007-09-20T16:29:00Z</cp:lastPrinted>
  <dcterms:created xsi:type="dcterms:W3CDTF">2017-10-18T12:45:00Z</dcterms:created>
  <dcterms:modified xsi:type="dcterms:W3CDTF">2017-10-18T12:45:00Z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R-R</vt:lpwstr>
  </property>
  <property fmtid="{D5CDD505-2E9C-101B-9397-08002B2CF9AE}" pid="3" name="EK_RefNr">
    <vt:lpwstr>1-ADM.9.2</vt:lpwstr>
  </property>
  <property fmtid="{D5CDD505-2E9C-101B-9397-08002B2CF9AE}" pid="4" name="EK_DokTittel">
    <vt:lpwstr>Taushetserklæring</vt:lpwstr>
  </property>
  <property fmtid="{D5CDD505-2E9C-101B-9397-08002B2CF9AE}" pid="5" name="EK_GjelderFra">
    <vt:lpwstr>[]</vt:lpwstr>
  </property>
</Properties>
</file>